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CA3" w:rsidRDefault="006B3CA3" w:rsidP="006B3CA3"/>
    <w:p w:rsidR="00354298" w:rsidRDefault="00354298" w:rsidP="00704B2A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color w:val="000000"/>
          <w:sz w:val="50"/>
          <w:szCs w:val="50"/>
        </w:rPr>
      </w:pPr>
      <w:r>
        <w:rPr>
          <w:rFonts w:ascii="Garamond-Bold" w:hAnsi="Garamond-Bold" w:cs="Garamond-Bold"/>
          <w:b/>
          <w:bCs/>
          <w:color w:val="000000"/>
          <w:sz w:val="50"/>
          <w:szCs w:val="50"/>
        </w:rPr>
        <w:t>Definizione delle irregolarità formali</w:t>
      </w:r>
    </w:p>
    <w:p w:rsidR="00354298" w:rsidRDefault="00354298" w:rsidP="00704B2A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color w:val="000000"/>
          <w:sz w:val="50"/>
          <w:szCs w:val="50"/>
        </w:rPr>
      </w:pPr>
      <w:r>
        <w:rPr>
          <w:rFonts w:ascii="Garamond-Bold" w:hAnsi="Garamond-Bold" w:cs="Garamond-Bold"/>
          <w:b/>
          <w:bCs/>
          <w:color w:val="000000"/>
          <w:sz w:val="50"/>
          <w:szCs w:val="50"/>
        </w:rPr>
        <w:t>(art. 1 co. 166 ss. della L. 197/2022) -</w:t>
      </w:r>
    </w:p>
    <w:p w:rsidR="00354298" w:rsidRDefault="00354298" w:rsidP="00704B2A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color w:val="000000"/>
          <w:sz w:val="50"/>
          <w:szCs w:val="50"/>
        </w:rPr>
      </w:pPr>
      <w:r>
        <w:rPr>
          <w:rFonts w:ascii="Garamond-Bold" w:hAnsi="Garamond-Bold" w:cs="Garamond-Bold"/>
          <w:b/>
          <w:bCs/>
          <w:color w:val="000000"/>
          <w:sz w:val="50"/>
          <w:szCs w:val="50"/>
        </w:rPr>
        <w:t>Riepilogo della disciplina</w:t>
      </w:r>
    </w:p>
    <w:p w:rsidR="00354298" w:rsidRDefault="00354298" w:rsidP="00704B2A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color w:val="000000"/>
          <w:sz w:val="50"/>
          <w:szCs w:val="50"/>
        </w:rPr>
      </w:pPr>
      <w:r>
        <w:rPr>
          <w:rFonts w:ascii="Garamond-Bold" w:hAnsi="Garamond-Bold" w:cs="Garamond-Bold"/>
          <w:b/>
          <w:bCs/>
          <w:color w:val="000000"/>
          <w:sz w:val="50"/>
          <w:szCs w:val="50"/>
        </w:rPr>
        <w:t>e dei chiarimenti</w:t>
      </w:r>
    </w:p>
    <w:p w:rsidR="00354298" w:rsidRDefault="00354298" w:rsidP="0035429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4"/>
          <w:szCs w:val="24"/>
        </w:rPr>
      </w:pPr>
    </w:p>
    <w:p w:rsidR="00354298" w:rsidRDefault="00354298" w:rsidP="0035429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4"/>
          <w:szCs w:val="24"/>
        </w:rPr>
      </w:pPr>
      <w:r>
        <w:rPr>
          <w:rFonts w:ascii="Arial,Bold" w:hAnsi="Arial,Bold" w:cs="Arial,Bold"/>
          <w:b/>
          <w:bCs/>
          <w:color w:val="000000"/>
          <w:sz w:val="24"/>
          <w:szCs w:val="24"/>
        </w:rPr>
        <w:t>1 PREMESSA</w:t>
      </w:r>
    </w:p>
    <w:p w:rsidR="00354298" w:rsidRDefault="00354298" w:rsidP="00354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54298" w:rsidRPr="00354298" w:rsidRDefault="00354298" w:rsidP="00354298">
      <w:r w:rsidRPr="00354298">
        <w:t>L’art. 1 co. 166 - 173 della L. 29.12.2022 n. 197 (legge di bilancio 2023) prevede una sanatoria degli</w:t>
      </w:r>
    </w:p>
    <w:p w:rsidR="00354298" w:rsidRPr="00354298" w:rsidRDefault="00354298" w:rsidP="00354298">
      <w:r w:rsidRPr="00354298">
        <w:t>errori e delle irregolarità formali commessi sino al 31.10.2022.</w:t>
      </w:r>
    </w:p>
    <w:p w:rsidR="00704B2A" w:rsidRDefault="00354298" w:rsidP="00354298">
      <w:r w:rsidRPr="00354298">
        <w:t xml:space="preserve">Il perfezionamento si ha con il versamento degli importi, pari a 200,00 euro per tutte le violazioni </w:t>
      </w:r>
    </w:p>
    <w:p w:rsidR="00354298" w:rsidRPr="00354298" w:rsidRDefault="00704B2A" w:rsidP="00354298">
      <w:r w:rsidRPr="00354298">
        <w:t>C</w:t>
      </w:r>
      <w:r w:rsidR="00354298" w:rsidRPr="00354298">
        <w:t>ommesse</w:t>
      </w:r>
      <w:r>
        <w:t xml:space="preserve"> </w:t>
      </w:r>
      <w:r w:rsidR="00354298" w:rsidRPr="00354298">
        <w:t>in ciascun periodo d’imposta, da eseguirsi in due rate di pari ammontare entro il 31.3.2023</w:t>
      </w:r>
    </w:p>
    <w:p w:rsidR="00354298" w:rsidRPr="00354298" w:rsidRDefault="00354298" w:rsidP="00354298">
      <w:r w:rsidRPr="00354298">
        <w:t>e il 31.3.2024 (con facoltà di effettuare il versamento in unica soluzione entro il 31.3.2023).</w:t>
      </w:r>
    </w:p>
    <w:p w:rsidR="00354298" w:rsidRPr="00354298" w:rsidRDefault="00354298" w:rsidP="00354298">
      <w:r w:rsidRPr="00354298">
        <w:t>Oltre a ciò, è necessario rimuovere l’irregolarità o l’omissione entro il 31.3.2024.</w:t>
      </w:r>
    </w:p>
    <w:p w:rsidR="00354298" w:rsidRPr="00354298" w:rsidRDefault="00354298" w:rsidP="00354298">
      <w:r w:rsidRPr="00354298">
        <w:t>Dalla regolarizzazione sono escluse le violazioni contenute in atti di contestazione o di irrogazione</w:t>
      </w:r>
    </w:p>
    <w:p w:rsidR="00354298" w:rsidRPr="00354298" w:rsidRDefault="00354298" w:rsidP="00354298">
      <w:r w:rsidRPr="00354298">
        <w:t>delle sanzioni divenuti definitivi (per mancata impugnazione o formazione del giudicato)</w:t>
      </w:r>
    </w:p>
    <w:p w:rsidR="00354298" w:rsidRPr="00354298" w:rsidRDefault="00354298" w:rsidP="00354298">
      <w:r w:rsidRPr="00354298">
        <w:t>all’1.1.2023 (data di entrata in vigore della L. 197/2022).</w:t>
      </w:r>
    </w:p>
    <w:p w:rsidR="00354298" w:rsidRPr="00354298" w:rsidRDefault="00354298" w:rsidP="00354298">
      <w:r w:rsidRPr="00354298">
        <w:t xml:space="preserve">Le modalità di attuazione dell’art. 1 co. 166 ss. della L. 197/2022 sono state definite dal </w:t>
      </w:r>
      <w:proofErr w:type="spellStart"/>
      <w:r w:rsidRPr="00354298">
        <w:t>provv</w:t>
      </w:r>
      <w:proofErr w:type="spellEnd"/>
      <w:r w:rsidRPr="00354298">
        <w:t>.</w:t>
      </w:r>
    </w:p>
    <w:p w:rsidR="00354298" w:rsidRPr="00354298" w:rsidRDefault="00354298" w:rsidP="00354298">
      <w:r w:rsidRPr="00354298">
        <w:t>Agenzia delle Entrate 30.1.2023 n. 27629.</w:t>
      </w:r>
    </w:p>
    <w:p w:rsidR="00354298" w:rsidRPr="00354298" w:rsidRDefault="00354298" w:rsidP="00354298">
      <w:r w:rsidRPr="00354298">
        <w:t>Ulteriori chiarimenti sono stati forniti con la circ. Agenzia delle Entrate 27.1.2023 n. 2, in cui sono</w:t>
      </w:r>
    </w:p>
    <w:p w:rsidR="00354298" w:rsidRPr="00354298" w:rsidRDefault="00354298" w:rsidP="00354298">
      <w:r w:rsidRPr="00354298">
        <w:t>elencate diverse violazioni che, secondo la versione dell’Erario, possono o meno rientrare nella</w:t>
      </w:r>
    </w:p>
    <w:p w:rsidR="00354298" w:rsidRPr="00354298" w:rsidRDefault="00354298" w:rsidP="00354298">
      <w:r w:rsidRPr="00354298">
        <w:t>definizione. Tale definizione è formulata in modo identico a quella a suo tempo introdotta dall’art. 9</w:t>
      </w:r>
    </w:p>
    <w:p w:rsidR="00354298" w:rsidRPr="00354298" w:rsidRDefault="00354298" w:rsidP="00354298">
      <w:r w:rsidRPr="00354298">
        <w:t>del DL 119/2018, per cui è possibile richiamare anche i chiarimenti forniti con la circ. Agenzia delle</w:t>
      </w:r>
    </w:p>
    <w:p w:rsidR="00354298" w:rsidRPr="00354298" w:rsidRDefault="00354298" w:rsidP="00354298">
      <w:r w:rsidRPr="00354298">
        <w:t>Entrate 15.5.2019 n. 11.</w:t>
      </w:r>
    </w:p>
    <w:p w:rsidR="00354298" w:rsidRPr="00354298" w:rsidRDefault="00354298" w:rsidP="00354298">
      <w:r w:rsidRPr="00354298">
        <w:t>Il contribuente può scegliere quante e quali violazioni regolarizzare.</w:t>
      </w:r>
    </w:p>
    <w:p w:rsidR="00704B2A" w:rsidRPr="00704B2A" w:rsidRDefault="00704B2A" w:rsidP="00704B2A">
      <w:pPr>
        <w:rPr>
          <w:b/>
          <w:bCs/>
        </w:rPr>
      </w:pPr>
      <w:r w:rsidRPr="00704B2A">
        <w:rPr>
          <w:b/>
          <w:bCs/>
        </w:rPr>
        <w:t>Errori sanabili</w:t>
      </w:r>
    </w:p>
    <w:p w:rsidR="00704B2A" w:rsidRPr="00704B2A" w:rsidRDefault="00704B2A" w:rsidP="00704B2A">
      <w:r w:rsidRPr="00704B2A">
        <w:t>Violazioni di obblighi di natura formale che non hanno riflesso sulla base imponibile</w:t>
      </w:r>
    </w:p>
    <w:p w:rsidR="00704B2A" w:rsidRPr="00704B2A" w:rsidRDefault="00704B2A" w:rsidP="00704B2A">
      <w:r w:rsidRPr="00704B2A">
        <w:t>delle imposte sui redditi, IVA e IRAP e sul pagamento di tributi,</w:t>
      </w:r>
    </w:p>
    <w:p w:rsidR="00704B2A" w:rsidRPr="00704B2A" w:rsidRDefault="00704B2A" w:rsidP="00704B2A">
      <w:r w:rsidRPr="00704B2A">
        <w:t>commesse sino al 31.10.2022</w:t>
      </w:r>
    </w:p>
    <w:p w:rsidR="00704B2A" w:rsidRPr="00704B2A" w:rsidRDefault="00704B2A" w:rsidP="00704B2A">
      <w:r w:rsidRPr="00704B2A">
        <w:rPr>
          <w:b/>
          <w:bCs/>
        </w:rPr>
        <w:t xml:space="preserve">Condizioni </w:t>
      </w:r>
      <w:r w:rsidRPr="00704B2A">
        <w:t>Pagamento di 200,00 euro per anno d’imposta e rimozione della violazione</w:t>
      </w:r>
    </w:p>
    <w:p w:rsidR="00704B2A" w:rsidRPr="00704B2A" w:rsidRDefault="00704B2A" w:rsidP="00704B2A">
      <w:r w:rsidRPr="00704B2A">
        <w:rPr>
          <w:b/>
          <w:bCs/>
        </w:rPr>
        <w:t xml:space="preserve">Benefici </w:t>
      </w:r>
      <w:r w:rsidRPr="00704B2A">
        <w:t>Estinzione della violazione</w:t>
      </w:r>
    </w:p>
    <w:p w:rsidR="00704B2A" w:rsidRPr="00704B2A" w:rsidRDefault="00704B2A" w:rsidP="00704B2A">
      <w:r w:rsidRPr="00704B2A">
        <w:rPr>
          <w:b/>
          <w:bCs/>
        </w:rPr>
        <w:t xml:space="preserve">Esclusioni </w:t>
      </w:r>
      <w:r w:rsidRPr="00704B2A">
        <w:t>Violazioni relative al monitoraggio fiscale</w:t>
      </w:r>
    </w:p>
    <w:p w:rsidR="00704B2A" w:rsidRPr="00704B2A" w:rsidRDefault="00704B2A" w:rsidP="00704B2A">
      <w:pPr>
        <w:rPr>
          <w:b/>
          <w:bCs/>
        </w:rPr>
      </w:pPr>
      <w:r w:rsidRPr="00704B2A">
        <w:rPr>
          <w:b/>
          <w:bCs/>
        </w:rPr>
        <w:t>Termini per i versamenti</w:t>
      </w:r>
    </w:p>
    <w:p w:rsidR="00704B2A" w:rsidRPr="00704B2A" w:rsidRDefault="00704B2A" w:rsidP="00704B2A">
      <w:r w:rsidRPr="00704B2A">
        <w:t>Due rate di pari importo scadenti il 31.3.2023 e il 31.3.2024</w:t>
      </w:r>
    </w:p>
    <w:p w:rsidR="00704B2A" w:rsidRPr="00704B2A" w:rsidRDefault="00704B2A" w:rsidP="00704B2A">
      <w:r w:rsidRPr="00704B2A">
        <w:t>Facoltà di versamento in unica soluzione entro il 31.3.2023</w:t>
      </w:r>
    </w:p>
    <w:p w:rsidR="00704B2A" w:rsidRPr="00704B2A" w:rsidRDefault="00704B2A" w:rsidP="00704B2A">
      <w:r w:rsidRPr="00704B2A">
        <w:rPr>
          <w:b/>
          <w:bCs/>
        </w:rPr>
        <w:t>Termine per</w:t>
      </w:r>
      <w:r>
        <w:rPr>
          <w:b/>
          <w:bCs/>
        </w:rPr>
        <w:t xml:space="preserve"> </w:t>
      </w:r>
      <w:r w:rsidRPr="00704B2A">
        <w:rPr>
          <w:b/>
          <w:bCs/>
        </w:rPr>
        <w:t xml:space="preserve">la regolarizzazione </w:t>
      </w:r>
      <w:r w:rsidRPr="00704B2A">
        <w:t>31.3.2024</w:t>
      </w:r>
    </w:p>
    <w:p w:rsidR="00354298" w:rsidRPr="00354298" w:rsidRDefault="00704B2A" w:rsidP="00704B2A">
      <w:r w:rsidRPr="00704B2A">
        <w:rPr>
          <w:b/>
          <w:bCs/>
        </w:rPr>
        <w:t xml:space="preserve">Pluralità di violazioni </w:t>
      </w:r>
      <w:r w:rsidRPr="00704B2A">
        <w:t>Il contribuente può scegliere cosa regolarizzare</w:t>
      </w:r>
    </w:p>
    <w:p w:rsidR="00704B2A" w:rsidRDefault="00704B2A" w:rsidP="0035429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4"/>
          <w:szCs w:val="24"/>
        </w:rPr>
      </w:pPr>
    </w:p>
    <w:p w:rsidR="00354298" w:rsidRDefault="00354298" w:rsidP="0035429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4"/>
          <w:szCs w:val="24"/>
        </w:rPr>
      </w:pPr>
      <w:r>
        <w:rPr>
          <w:rFonts w:ascii="Arial,Bold" w:hAnsi="Arial,Bold" w:cs="Arial,Bold"/>
          <w:b/>
          <w:bCs/>
          <w:color w:val="000000"/>
          <w:sz w:val="24"/>
          <w:szCs w:val="24"/>
        </w:rPr>
        <w:t>2 AMBITO TEMPORALE</w:t>
      </w:r>
    </w:p>
    <w:p w:rsidR="00704B2A" w:rsidRDefault="00704B2A" w:rsidP="0035429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4"/>
          <w:szCs w:val="24"/>
        </w:rPr>
      </w:pPr>
    </w:p>
    <w:p w:rsidR="00354298" w:rsidRPr="00354298" w:rsidRDefault="00354298" w:rsidP="00354298">
      <w:r w:rsidRPr="00354298">
        <w:t>Possono essere oggetto di definizione le irregolarità formali commesse sino al 31.10.2022.</w:t>
      </w:r>
    </w:p>
    <w:p w:rsidR="00354298" w:rsidRPr="00354298" w:rsidRDefault="00354298" w:rsidP="00354298">
      <w:r w:rsidRPr="00354298">
        <w:t>Per individuare la commissione della violazione, sembra corretto riferirsi al termine entro cui avrebbe</w:t>
      </w:r>
    </w:p>
    <w:p w:rsidR="00354298" w:rsidRPr="00354298" w:rsidRDefault="00354298" w:rsidP="00354298">
      <w:r w:rsidRPr="00354298">
        <w:t>dovuto essere effettuato l’adempimento, tanto per l’omissione quanto per le inesattezze circa il</w:t>
      </w:r>
    </w:p>
    <w:p w:rsidR="00354298" w:rsidRPr="00354298" w:rsidRDefault="00354298" w:rsidP="00354298">
      <w:r w:rsidRPr="00354298">
        <w:t>contenuto del medesimo.</w:t>
      </w:r>
    </w:p>
    <w:p w:rsidR="00354298" w:rsidRPr="00354298" w:rsidRDefault="00354298" w:rsidP="00354298">
      <w:r w:rsidRPr="00354298">
        <w:t>Così, prendendo ad esempio la comunicazione delle minusvalenze che si assolve all’interno del</w:t>
      </w:r>
    </w:p>
    <w:p w:rsidR="00354298" w:rsidRPr="00354298" w:rsidRDefault="00354298" w:rsidP="00354298">
      <w:r w:rsidRPr="00354298">
        <w:t>modello REDDITI, sarebbero sanabili le omissioni commesse nel modello REDDITI 2021, il cui termine</w:t>
      </w:r>
    </w:p>
    <w:p w:rsidR="00354298" w:rsidRPr="00354298" w:rsidRDefault="00354298" w:rsidP="00354298">
      <w:r w:rsidRPr="00354298">
        <w:t>di presentazione, al 31.10.2022, era spirato essendo scaduto il 30.11.2021, ma non quelle</w:t>
      </w:r>
    </w:p>
    <w:p w:rsidR="00354298" w:rsidRPr="00354298" w:rsidRDefault="00354298" w:rsidP="00354298">
      <w:r w:rsidRPr="00354298">
        <w:t>relative al modello REDDITI 2022, il cui termine di presentazione è scaduto il 30.11.2022.</w:t>
      </w:r>
    </w:p>
    <w:p w:rsidR="00354298" w:rsidRPr="00354298" w:rsidRDefault="00354298" w:rsidP="00354298">
      <w:r w:rsidRPr="00354298">
        <w:t>Sono così escluse le omissioni commesse nell’ambito del modello REDDITI 2022, quand’anche</w:t>
      </w:r>
    </w:p>
    <w:p w:rsidR="00354298" w:rsidRPr="00354298" w:rsidRDefault="00354298" w:rsidP="00354298">
      <w:r w:rsidRPr="00354298">
        <w:t>tale modello sia stato inviato prima del 31.10.2022 (entro il 30.11.2022 l’omissione avrebbe potuto</w:t>
      </w:r>
    </w:p>
    <w:p w:rsidR="00354298" w:rsidRPr="00354298" w:rsidRDefault="00354298" w:rsidP="00354298">
      <w:r w:rsidRPr="00354298">
        <w:t>essere sanata senza il pagamento di sanzioni, tramite “correttiva nei termini”).</w:t>
      </w:r>
    </w:p>
    <w:p w:rsidR="00704B2A" w:rsidRDefault="00704B2A" w:rsidP="0035429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4"/>
          <w:szCs w:val="24"/>
        </w:rPr>
      </w:pPr>
    </w:p>
    <w:p w:rsidR="00354298" w:rsidRDefault="00354298" w:rsidP="0035429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4"/>
          <w:szCs w:val="24"/>
        </w:rPr>
      </w:pPr>
      <w:r>
        <w:rPr>
          <w:rFonts w:ascii="Arial,Bold" w:hAnsi="Arial,Bold" w:cs="Arial,Bold"/>
          <w:b/>
          <w:bCs/>
          <w:color w:val="000000"/>
          <w:sz w:val="24"/>
          <w:szCs w:val="24"/>
        </w:rPr>
        <w:t>3 VIOLAZIONI OGGETTO DI SANATORIA</w:t>
      </w:r>
    </w:p>
    <w:p w:rsidR="00704B2A" w:rsidRDefault="00704B2A" w:rsidP="00354298"/>
    <w:p w:rsidR="00354298" w:rsidRPr="00354298" w:rsidRDefault="00354298" w:rsidP="00354298">
      <w:r w:rsidRPr="00354298">
        <w:t>In base all’art. 1 co. 166 della L. 197/2022, sono sanabili le “irregolarità, le infrazioni e l’inosservanza</w:t>
      </w:r>
    </w:p>
    <w:p w:rsidR="00354298" w:rsidRPr="00354298" w:rsidRDefault="00354298" w:rsidP="00354298">
      <w:r w:rsidRPr="00354298">
        <w:t>di obblighi o adempimenti, di natura formale, che non rilevano sulla determinazione della</w:t>
      </w:r>
    </w:p>
    <w:p w:rsidR="00354298" w:rsidRPr="00354298" w:rsidRDefault="00354298" w:rsidP="00354298">
      <w:r w:rsidRPr="00354298">
        <w:t>base imponibile ai fini delle imposte sui redditi, dell’imposta sul valore aggiunto e dell’imposta regionale</w:t>
      </w:r>
    </w:p>
    <w:p w:rsidR="00354298" w:rsidRPr="00354298" w:rsidRDefault="00354298" w:rsidP="00354298">
      <w:r w:rsidRPr="00354298">
        <w:t>sulle attività produttive e sul pagamento di tali tributi”.</w:t>
      </w:r>
    </w:p>
    <w:p w:rsidR="00354298" w:rsidRPr="00354298" w:rsidRDefault="00354298" w:rsidP="00354298">
      <w:r w:rsidRPr="00354298">
        <w:t>Non possono essere sanate le irregolarità commesse in merito al quadro RW, inclusa la mancata</w:t>
      </w:r>
    </w:p>
    <w:p w:rsidR="00354298" w:rsidRPr="00354298" w:rsidRDefault="00354298" w:rsidP="00354298">
      <w:r w:rsidRPr="00354298">
        <w:t>compilazione dello stesso.</w:t>
      </w:r>
    </w:p>
    <w:p w:rsidR="00354298" w:rsidRPr="00354298" w:rsidRDefault="00354298" w:rsidP="00354298">
      <w:r w:rsidRPr="00354298">
        <w:t>Inoltre, non possono essere definite le violazioni che in generale incidono sulla determinazione</w:t>
      </w:r>
    </w:p>
    <w:p w:rsidR="00354298" w:rsidRPr="00354298" w:rsidRDefault="00354298" w:rsidP="00354298">
      <w:r w:rsidRPr="00354298">
        <w:t>della base imponibile o sul versamento del tributo.</w:t>
      </w:r>
    </w:p>
    <w:p w:rsidR="00354298" w:rsidRPr="00354298" w:rsidRDefault="00354298" w:rsidP="00354298">
      <w:r w:rsidRPr="00354298">
        <w:t>Sono escluse le violazioni meramente formali che ai sensi degli artt. 10 della L. 212/2000 e 6 co.</w:t>
      </w:r>
    </w:p>
    <w:p w:rsidR="00354298" w:rsidRPr="00354298" w:rsidRDefault="00354298" w:rsidP="00354298">
      <w:r w:rsidRPr="00354298">
        <w:t xml:space="preserve">5-bis del </w:t>
      </w:r>
      <w:proofErr w:type="spellStart"/>
      <w:r w:rsidRPr="00354298">
        <w:t>DLgs</w:t>
      </w:r>
      <w:proofErr w:type="spellEnd"/>
      <w:r w:rsidRPr="00354298">
        <w:t>. 472/97 non sono proprio sanzionabili, non incidendo sull’attività di controllo fiscale.</w:t>
      </w:r>
    </w:p>
    <w:p w:rsidR="00354298" w:rsidRPr="00354298" w:rsidRDefault="00354298" w:rsidP="00354298">
      <w:r w:rsidRPr="00354298">
        <w:t>La definizione non è inibita dal fatto che la violazione sia stata constatata in un processo verbale,</w:t>
      </w:r>
    </w:p>
    <w:p w:rsidR="00354298" w:rsidRPr="00354298" w:rsidRDefault="00354298" w:rsidP="00354298">
      <w:r w:rsidRPr="00354298">
        <w:t>dall’inizio della verifica fiscale, e nemmeno dalla notifica dell’atto di contestazione della sanzione</w:t>
      </w:r>
    </w:p>
    <w:p w:rsidR="00354298" w:rsidRPr="00354298" w:rsidRDefault="00354298" w:rsidP="00354298">
      <w:r w:rsidRPr="00354298">
        <w:t>e/o dalla pendenza della lite, salvo quest’ultimo atto, per mancata impugnazione o per giudicato,</w:t>
      </w:r>
    </w:p>
    <w:p w:rsidR="00354298" w:rsidRDefault="00354298" w:rsidP="00354298">
      <w:r w:rsidRPr="00354298">
        <w:t>sia definitivo all’1.1.2023.</w:t>
      </w:r>
    </w:p>
    <w:p w:rsidR="00704B2A" w:rsidRPr="00354298" w:rsidRDefault="00704B2A" w:rsidP="00354298"/>
    <w:p w:rsidR="00354298" w:rsidRDefault="00354298" w:rsidP="0035429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sz w:val="18"/>
          <w:szCs w:val="18"/>
        </w:rPr>
        <w:t xml:space="preserve">3.1 VIOLAZIONI OGGETTO DI “REMISSIONE </w:t>
      </w:r>
      <w:r>
        <w:rPr>
          <w:rFonts w:ascii="Arial,BoldItalic" w:hAnsi="Arial,BoldItalic" w:cs="Arial,BoldItalic"/>
          <w:b/>
          <w:bCs/>
          <w:i/>
          <w:iCs/>
          <w:color w:val="000000"/>
          <w:sz w:val="18"/>
          <w:szCs w:val="18"/>
        </w:rPr>
        <w:t>IN BONIS</w:t>
      </w:r>
      <w:r>
        <w:rPr>
          <w:rFonts w:ascii="Arial,Bold" w:hAnsi="Arial,Bold" w:cs="Arial,Bold"/>
          <w:b/>
          <w:bCs/>
          <w:color w:val="000000"/>
          <w:sz w:val="18"/>
          <w:szCs w:val="18"/>
        </w:rPr>
        <w:t>”</w:t>
      </w:r>
    </w:p>
    <w:p w:rsidR="00704B2A" w:rsidRDefault="00704B2A" w:rsidP="0035429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18"/>
          <w:szCs w:val="18"/>
        </w:rPr>
      </w:pPr>
    </w:p>
    <w:p w:rsidR="00354298" w:rsidRPr="00354298" w:rsidRDefault="00354298" w:rsidP="00354298">
      <w:r w:rsidRPr="00354298">
        <w:t xml:space="preserve">L’art. 2 co. 1 del DL 16/2012 disciplina una forma di ravvedimento (c.d. “remissione in </w:t>
      </w:r>
      <w:proofErr w:type="spellStart"/>
      <w:r w:rsidRPr="00354298">
        <w:t>bonis</w:t>
      </w:r>
      <w:proofErr w:type="spellEnd"/>
      <w:r w:rsidRPr="00354298">
        <w:t>”) volto</w:t>
      </w:r>
    </w:p>
    <w:p w:rsidR="00354298" w:rsidRPr="00354298" w:rsidRDefault="00354298" w:rsidP="00354298">
      <w:r w:rsidRPr="00354298">
        <w:t>ad evitare che dimenticanze relative a comunicazioni e ad adempimenti formali non eseguiti tempestivamente</w:t>
      </w:r>
    </w:p>
    <w:p w:rsidR="00354298" w:rsidRPr="00354298" w:rsidRDefault="00354298" w:rsidP="00354298">
      <w:r w:rsidRPr="00354298">
        <w:t>precludano al contribuente, che abbia i requisiti sostanziali richiesti dalla norma, la</w:t>
      </w:r>
    </w:p>
    <w:p w:rsidR="00354298" w:rsidRPr="00354298" w:rsidRDefault="00354298" w:rsidP="00354298">
      <w:r w:rsidRPr="00354298">
        <w:t>possibilità di fruire di benefici fiscali o regimi opzionali. Tale norma prevede, quindi, la possibilità di</w:t>
      </w:r>
    </w:p>
    <w:p w:rsidR="00354298" w:rsidRPr="00354298" w:rsidRDefault="00354298" w:rsidP="00354298">
      <w:r w:rsidRPr="00354298">
        <w:t>mantenere benefici di natura fiscale e regimi opzionali che siano subordinati all’obbligo di preventiva</w:t>
      </w:r>
    </w:p>
    <w:p w:rsidR="00354298" w:rsidRPr="00354298" w:rsidRDefault="00354298" w:rsidP="00354298">
      <w:r w:rsidRPr="00354298">
        <w:t>comunicazione o di altro adempimento di carattere formale anche in caso di omissione di detto</w:t>
      </w:r>
    </w:p>
    <w:p w:rsidR="00354298" w:rsidRPr="00354298" w:rsidRDefault="00354298" w:rsidP="00354298">
      <w:r w:rsidRPr="00354298">
        <w:t>obbligo presentando, ancorché tardivamente, la relativa comunicazione e versando un’apposita</w:t>
      </w:r>
    </w:p>
    <w:p w:rsidR="00354298" w:rsidRPr="00354298" w:rsidRDefault="00354298" w:rsidP="00354298">
      <w:r w:rsidRPr="00354298">
        <w:t>sanzione di 250,00 euro.</w:t>
      </w:r>
    </w:p>
    <w:p w:rsidR="00354298" w:rsidRPr="00354298" w:rsidRDefault="00354298" w:rsidP="00354298">
      <w:r w:rsidRPr="00354298">
        <w:t>Il tutto deve però avvenire entro il termine di presentazione della prima dichiarazione utile.</w:t>
      </w:r>
    </w:p>
    <w:p w:rsidR="00354298" w:rsidRPr="00354298" w:rsidRDefault="00354298" w:rsidP="00354298">
      <w:r w:rsidRPr="00354298">
        <w:t xml:space="preserve">Gli adempimenti che rientrano nella remissione in </w:t>
      </w:r>
      <w:proofErr w:type="spellStart"/>
      <w:r w:rsidRPr="00354298">
        <w:t>bonis</w:t>
      </w:r>
      <w:proofErr w:type="spellEnd"/>
      <w:r w:rsidRPr="00354298">
        <w:t xml:space="preserve"> sono, ad esempio, l’opzione per la cedolare</w:t>
      </w:r>
    </w:p>
    <w:p w:rsidR="00354298" w:rsidRPr="00354298" w:rsidRDefault="00354298" w:rsidP="00354298">
      <w:r w:rsidRPr="00354298">
        <w:t>secca e per il consolidato fiscale.</w:t>
      </w:r>
    </w:p>
    <w:p w:rsidR="00354298" w:rsidRPr="00354298" w:rsidRDefault="00354298" w:rsidP="00354298">
      <w:r w:rsidRPr="00354298">
        <w:t>Secondo la circ. Agenzia delle Entrate 27.1.2023 n. 2, le violazioni che sono soggette alla remissione</w:t>
      </w:r>
    </w:p>
    <w:p w:rsidR="00354298" w:rsidRPr="00354298" w:rsidRDefault="00354298" w:rsidP="00354298">
      <w:r w:rsidRPr="00354298">
        <w:t xml:space="preserve">in </w:t>
      </w:r>
      <w:proofErr w:type="spellStart"/>
      <w:r w:rsidRPr="00354298">
        <w:t>bonis</w:t>
      </w:r>
      <w:proofErr w:type="spellEnd"/>
      <w:r w:rsidRPr="00354298">
        <w:t xml:space="preserve"> non rientrano nella definizione delle violazioni formali.</w:t>
      </w:r>
    </w:p>
    <w:p w:rsidR="00354298" w:rsidRDefault="00354298" w:rsidP="0035429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sz w:val="18"/>
          <w:szCs w:val="18"/>
        </w:rPr>
        <w:t>3.2 COMPARTI IMPOSITIVI DIVERSI DA IMPOSTE SUI REDDITI, IVA E IRAP</w:t>
      </w:r>
    </w:p>
    <w:p w:rsidR="00704B2A" w:rsidRDefault="00704B2A" w:rsidP="0035429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18"/>
          <w:szCs w:val="18"/>
        </w:rPr>
      </w:pPr>
    </w:p>
    <w:p w:rsidR="00354298" w:rsidRPr="00354298" w:rsidRDefault="00354298" w:rsidP="00354298">
      <w:r w:rsidRPr="00354298">
        <w:t>L’art. 1 co. 166 della L. 197/2022 permette di sanare le violazioni formali che non hanno inciso sulla</w:t>
      </w:r>
    </w:p>
    <w:p w:rsidR="00704B2A" w:rsidRDefault="00354298" w:rsidP="00354298">
      <w:r w:rsidRPr="00354298">
        <w:t>formazione della base imponibile ai fini delle imposte sui redditi, dell’IVA e dell’IRAP, nonché sul</w:t>
      </w:r>
    </w:p>
    <w:p w:rsidR="00354298" w:rsidRPr="00354298" w:rsidRDefault="00354298" w:rsidP="00354298">
      <w:r w:rsidRPr="00354298">
        <w:t>pagamento</w:t>
      </w:r>
      <w:r w:rsidR="00704B2A">
        <w:t xml:space="preserve"> </w:t>
      </w:r>
      <w:r w:rsidRPr="00354298">
        <w:t>dei tributi.</w:t>
      </w:r>
    </w:p>
    <w:p w:rsidR="00354298" w:rsidRPr="00354298" w:rsidRDefault="00354298" w:rsidP="00354298">
      <w:r w:rsidRPr="00354298">
        <w:t xml:space="preserve">Per questa ragione, nel </w:t>
      </w:r>
      <w:proofErr w:type="spellStart"/>
      <w:r w:rsidRPr="00354298">
        <w:t>provv</w:t>
      </w:r>
      <w:proofErr w:type="spellEnd"/>
      <w:r w:rsidRPr="00354298">
        <w:t>. Agenzia delle Entrate 30.1.2023 n. 27629 si è sostenuto non solo</w:t>
      </w:r>
    </w:p>
    <w:p w:rsidR="00354298" w:rsidRPr="00354298" w:rsidRDefault="00354298" w:rsidP="00354298">
      <w:r w:rsidRPr="00354298">
        <w:t>che si tratta delle sanzioni la cui competenza all’irrogazione spetta all’Agenzia delle Entrate ma</w:t>
      </w:r>
    </w:p>
    <w:p w:rsidR="00354298" w:rsidRPr="00354298" w:rsidRDefault="00354298" w:rsidP="00354298">
      <w:r w:rsidRPr="00354298">
        <w:t>pure che la sanatoria non opera per “violazioni formali di norme tributarie concernenti ambiti impositivi</w:t>
      </w:r>
    </w:p>
    <w:p w:rsidR="00354298" w:rsidRDefault="00354298" w:rsidP="00354298">
      <w:r w:rsidRPr="00354298">
        <w:t>diversi da quelli di cui al punto 1.2” (punto 1.3).</w:t>
      </w:r>
    </w:p>
    <w:p w:rsidR="00EC38D3" w:rsidRPr="00354298" w:rsidRDefault="00EC38D3" w:rsidP="00354298"/>
    <w:p w:rsidR="00354298" w:rsidRDefault="00354298" w:rsidP="0035429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4"/>
          <w:szCs w:val="24"/>
        </w:rPr>
      </w:pPr>
      <w:r>
        <w:rPr>
          <w:rFonts w:ascii="Arial,Bold" w:hAnsi="Arial,Bold" w:cs="Arial,Bold"/>
          <w:b/>
          <w:bCs/>
          <w:color w:val="000000"/>
          <w:sz w:val="24"/>
          <w:szCs w:val="24"/>
        </w:rPr>
        <w:t>4 VIOLAZIONI CHE NON RIENTRANO NELLA SANATORIA</w:t>
      </w:r>
    </w:p>
    <w:p w:rsidR="00704B2A" w:rsidRDefault="00704B2A" w:rsidP="00354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54298" w:rsidRPr="00704B2A" w:rsidRDefault="00354298" w:rsidP="00704B2A">
      <w:r w:rsidRPr="00704B2A">
        <w:t>Nella seguente tabella si riepilogano le principali violazioni non rientranti nella definizione in esame.</w:t>
      </w:r>
    </w:p>
    <w:p w:rsidR="00354298" w:rsidRPr="00704B2A" w:rsidRDefault="00354298" w:rsidP="00704B2A">
      <w:r w:rsidRPr="00704B2A">
        <w:t>Dichiarazione infedele</w:t>
      </w:r>
      <w:r w:rsidR="00704B2A" w:rsidRPr="00704B2A">
        <w:t xml:space="preserve"> </w:t>
      </w:r>
      <w:r w:rsidRPr="00704B2A">
        <w:t>(incluso il modello INTRA-12 e il regime del MOSS/OSS/IOSS)</w:t>
      </w:r>
      <w:r w:rsidR="00704B2A" w:rsidRPr="00704B2A">
        <w:t xml:space="preserve">, </w:t>
      </w:r>
      <w:r w:rsidRPr="00704B2A">
        <w:t xml:space="preserve">Artt. 1 e 5 del </w:t>
      </w:r>
      <w:proofErr w:type="spellStart"/>
      <w:r w:rsidRPr="00704B2A">
        <w:t>DLgs</w:t>
      </w:r>
      <w:proofErr w:type="spellEnd"/>
      <w:r w:rsidRPr="00704B2A">
        <w:t>. 471/97</w:t>
      </w:r>
    </w:p>
    <w:p w:rsidR="00354298" w:rsidRPr="00704B2A" w:rsidRDefault="00354298" w:rsidP="00704B2A">
      <w:r w:rsidRPr="00704B2A">
        <w:t>Dichiarazione omessa</w:t>
      </w:r>
      <w:r w:rsidR="00704B2A" w:rsidRPr="00704B2A">
        <w:t xml:space="preserve"> </w:t>
      </w:r>
      <w:r w:rsidRPr="00704B2A">
        <w:t>(incluso il modello INTRA-12 e il regime del MOSS/OSS/IOSS)</w:t>
      </w:r>
      <w:r w:rsidR="00704B2A" w:rsidRPr="00704B2A">
        <w:t xml:space="preserve">, </w:t>
      </w:r>
      <w:r w:rsidRPr="00704B2A">
        <w:t xml:space="preserve">Artt. 1 e 5 del </w:t>
      </w:r>
      <w:proofErr w:type="spellStart"/>
      <w:r w:rsidRPr="00704B2A">
        <w:t>DLgs</w:t>
      </w:r>
      <w:proofErr w:type="spellEnd"/>
      <w:r w:rsidRPr="00704B2A">
        <w:t>. 471/97</w:t>
      </w:r>
    </w:p>
    <w:p w:rsidR="00354298" w:rsidRPr="00704B2A" w:rsidRDefault="00354298" w:rsidP="00704B2A">
      <w:r w:rsidRPr="00704B2A">
        <w:t xml:space="preserve">Dichiarazione omessa dalla quale non emergono imposte da versare Artt. 1 e 5 del </w:t>
      </w:r>
      <w:proofErr w:type="spellStart"/>
      <w:r w:rsidRPr="00704B2A">
        <w:t>DLgs</w:t>
      </w:r>
      <w:proofErr w:type="spellEnd"/>
      <w:r w:rsidRPr="00704B2A">
        <w:t>. 471/97</w:t>
      </w:r>
    </w:p>
    <w:p w:rsidR="00354298" w:rsidRPr="00704B2A" w:rsidRDefault="00354298" w:rsidP="00704B2A">
      <w:r w:rsidRPr="00704B2A">
        <w:t>Indicazione di ricavi fittizi Art. 8 co. 2 del DL 16/2012</w:t>
      </w:r>
    </w:p>
    <w:p w:rsidR="00354298" w:rsidRPr="00704B2A" w:rsidRDefault="00354298" w:rsidP="00704B2A">
      <w:r w:rsidRPr="00704B2A">
        <w:t>Quadro RW Art. 5 del DL 167/90</w:t>
      </w:r>
    </w:p>
    <w:p w:rsidR="00354298" w:rsidRPr="00704B2A" w:rsidRDefault="00354298" w:rsidP="00704B2A">
      <w:r w:rsidRPr="00704B2A">
        <w:t xml:space="preserve">Fatturazione omessa o infedele Art. 6 co. 1 del </w:t>
      </w:r>
      <w:proofErr w:type="spellStart"/>
      <w:r w:rsidRPr="00704B2A">
        <w:t>DLgs</w:t>
      </w:r>
      <w:proofErr w:type="spellEnd"/>
      <w:r w:rsidRPr="00704B2A">
        <w:t>. 471/97</w:t>
      </w:r>
    </w:p>
    <w:p w:rsidR="00354298" w:rsidRPr="00704B2A" w:rsidRDefault="00354298" w:rsidP="00704B2A">
      <w:r w:rsidRPr="00704B2A">
        <w:t>Omessa o irregolare conservazione/trasmissione telematica</w:t>
      </w:r>
      <w:r w:rsidR="00704B2A" w:rsidRPr="00704B2A">
        <w:t xml:space="preserve"> </w:t>
      </w:r>
      <w:r w:rsidRPr="00704B2A">
        <w:t>dei corrispettivi</w:t>
      </w:r>
      <w:r w:rsidR="00704B2A" w:rsidRPr="00704B2A">
        <w:t xml:space="preserve"> </w:t>
      </w:r>
      <w:r w:rsidRPr="00704B2A">
        <w:t xml:space="preserve">Art. 6 co. 2-bis del </w:t>
      </w:r>
      <w:proofErr w:type="spellStart"/>
      <w:r w:rsidRPr="00704B2A">
        <w:t>DLgs</w:t>
      </w:r>
      <w:proofErr w:type="spellEnd"/>
      <w:r w:rsidRPr="00704B2A">
        <w:t>. 471/97</w:t>
      </w:r>
    </w:p>
    <w:p w:rsidR="00354298" w:rsidRPr="00704B2A" w:rsidRDefault="00354298" w:rsidP="00704B2A">
      <w:r w:rsidRPr="00704B2A">
        <w:t xml:space="preserve">Indebita detrazione Art. 6 co. 6 del </w:t>
      </w:r>
      <w:proofErr w:type="spellStart"/>
      <w:r w:rsidRPr="00704B2A">
        <w:t>DLgs</w:t>
      </w:r>
      <w:proofErr w:type="spellEnd"/>
      <w:r w:rsidRPr="00704B2A">
        <w:t>. 471/97</w:t>
      </w:r>
    </w:p>
    <w:p w:rsidR="00354298" w:rsidRPr="00704B2A" w:rsidRDefault="00354298" w:rsidP="00704B2A">
      <w:r w:rsidRPr="00704B2A">
        <w:t xml:space="preserve">Rimborso non spettante Art. 5 co. 5 del </w:t>
      </w:r>
      <w:proofErr w:type="spellStart"/>
      <w:r w:rsidRPr="00704B2A">
        <w:t>DLgs</w:t>
      </w:r>
      <w:proofErr w:type="spellEnd"/>
      <w:r w:rsidRPr="00704B2A">
        <w:t>. 471/97</w:t>
      </w:r>
    </w:p>
    <w:p w:rsidR="00354298" w:rsidRPr="00704B2A" w:rsidRDefault="00354298" w:rsidP="00704B2A">
      <w:r w:rsidRPr="00704B2A">
        <w:t xml:space="preserve">Omessa regolarizzazione del cessionario/committente Art. 6 co. 8 del </w:t>
      </w:r>
      <w:proofErr w:type="spellStart"/>
      <w:r w:rsidRPr="00704B2A">
        <w:t>DLgs</w:t>
      </w:r>
      <w:proofErr w:type="spellEnd"/>
      <w:r w:rsidRPr="00704B2A">
        <w:t>. 471/97</w:t>
      </w:r>
    </w:p>
    <w:p w:rsidR="00354298" w:rsidRPr="00704B2A" w:rsidRDefault="00354298" w:rsidP="00704B2A">
      <w:r w:rsidRPr="00704B2A">
        <w:t xml:space="preserve">Mancata esportazione del bene entro 90 giorni dalla consegna Art. 7 co. 1 del </w:t>
      </w:r>
      <w:proofErr w:type="spellStart"/>
      <w:r w:rsidRPr="00704B2A">
        <w:t>DLgs</w:t>
      </w:r>
      <w:proofErr w:type="spellEnd"/>
      <w:r w:rsidRPr="00704B2A">
        <w:t>. 471/97</w:t>
      </w:r>
    </w:p>
    <w:p w:rsidR="00354298" w:rsidRPr="00704B2A" w:rsidRDefault="00354298" w:rsidP="00704B2A">
      <w:r w:rsidRPr="00704B2A">
        <w:t xml:space="preserve">Mancata regolarizzazione della cessione a privato non residente Art. 7 co. 2 del </w:t>
      </w:r>
      <w:proofErr w:type="spellStart"/>
      <w:r w:rsidRPr="00704B2A">
        <w:t>DLgs</w:t>
      </w:r>
      <w:proofErr w:type="spellEnd"/>
      <w:r w:rsidRPr="00704B2A">
        <w:t>. 471/97</w:t>
      </w:r>
    </w:p>
    <w:p w:rsidR="00354298" w:rsidRPr="00704B2A" w:rsidRDefault="00354298" w:rsidP="00704B2A">
      <w:r w:rsidRPr="00704B2A">
        <w:t xml:space="preserve">Cessioni in regime di non imponibilità senza dichiarazione di intento Art. 7 co. 3 del </w:t>
      </w:r>
      <w:proofErr w:type="spellStart"/>
      <w:r w:rsidRPr="00704B2A">
        <w:t>DLgs</w:t>
      </w:r>
      <w:proofErr w:type="spellEnd"/>
      <w:r w:rsidRPr="00704B2A">
        <w:t>. 471/97</w:t>
      </w:r>
    </w:p>
    <w:p w:rsidR="00354298" w:rsidRPr="00704B2A" w:rsidRDefault="00354298" w:rsidP="00704B2A">
      <w:r w:rsidRPr="00704B2A">
        <w:t xml:space="preserve">Splafonamento Art. 7 co. 4 del </w:t>
      </w:r>
      <w:proofErr w:type="spellStart"/>
      <w:r w:rsidRPr="00704B2A">
        <w:t>DLgs</w:t>
      </w:r>
      <w:proofErr w:type="spellEnd"/>
      <w:r w:rsidRPr="00704B2A">
        <w:t>. 471/97</w:t>
      </w:r>
    </w:p>
    <w:p w:rsidR="00354298" w:rsidRPr="00704B2A" w:rsidRDefault="00354298" w:rsidP="00704B2A">
      <w:r w:rsidRPr="00704B2A">
        <w:t xml:space="preserve">Mancata applicazione delle ritenute Art. 14 del </w:t>
      </w:r>
      <w:proofErr w:type="spellStart"/>
      <w:r w:rsidRPr="00704B2A">
        <w:t>DLgs</w:t>
      </w:r>
      <w:proofErr w:type="spellEnd"/>
      <w:r w:rsidRPr="00704B2A">
        <w:t>. 471/97</w:t>
      </w:r>
    </w:p>
    <w:p w:rsidR="00354298" w:rsidRPr="00704B2A" w:rsidRDefault="00354298" w:rsidP="00704B2A">
      <w:r w:rsidRPr="00704B2A">
        <w:t xml:space="preserve">Modello 770 omesso Art. 2 del </w:t>
      </w:r>
      <w:proofErr w:type="spellStart"/>
      <w:r w:rsidRPr="00704B2A">
        <w:t>DLgs</w:t>
      </w:r>
      <w:proofErr w:type="spellEnd"/>
      <w:r w:rsidRPr="00704B2A">
        <w:t>. 471/97</w:t>
      </w:r>
    </w:p>
    <w:p w:rsidR="00354298" w:rsidRPr="00704B2A" w:rsidRDefault="00354298" w:rsidP="00704B2A">
      <w:r w:rsidRPr="00704B2A">
        <w:t xml:space="preserve">Modello 770 infedele Art. 2 del </w:t>
      </w:r>
      <w:proofErr w:type="spellStart"/>
      <w:r w:rsidRPr="00704B2A">
        <w:t>DLgs</w:t>
      </w:r>
      <w:proofErr w:type="spellEnd"/>
      <w:r w:rsidRPr="00704B2A">
        <w:t>. 471/97</w:t>
      </w:r>
    </w:p>
    <w:p w:rsidR="00354298" w:rsidRPr="00704B2A" w:rsidRDefault="00354298" w:rsidP="00704B2A">
      <w:r w:rsidRPr="00704B2A">
        <w:t xml:space="preserve">Tardivo/omesso versamento Art. 13 del </w:t>
      </w:r>
      <w:proofErr w:type="spellStart"/>
      <w:r w:rsidRPr="00704B2A">
        <w:t>DLgs</w:t>
      </w:r>
      <w:proofErr w:type="spellEnd"/>
      <w:r w:rsidRPr="00704B2A">
        <w:t>. 471/97</w:t>
      </w:r>
    </w:p>
    <w:p w:rsidR="00354298" w:rsidRPr="00704B2A" w:rsidRDefault="00354298" w:rsidP="00704B2A">
      <w:r w:rsidRPr="00704B2A">
        <w:t xml:space="preserve">Indebita compensazione di crediti esistenti Art. 13 del </w:t>
      </w:r>
      <w:proofErr w:type="spellStart"/>
      <w:r w:rsidRPr="00704B2A">
        <w:t>DLgs</w:t>
      </w:r>
      <w:proofErr w:type="spellEnd"/>
      <w:r w:rsidRPr="00704B2A">
        <w:t>. 471/97</w:t>
      </w:r>
    </w:p>
    <w:p w:rsidR="00354298" w:rsidRPr="00704B2A" w:rsidRDefault="00354298" w:rsidP="00704B2A">
      <w:r w:rsidRPr="00704B2A">
        <w:t xml:space="preserve">Indebita compensazione di crediti inesistenti Art. 13 del </w:t>
      </w:r>
      <w:proofErr w:type="spellStart"/>
      <w:r w:rsidRPr="00704B2A">
        <w:t>DLgs</w:t>
      </w:r>
      <w:proofErr w:type="spellEnd"/>
      <w:r w:rsidRPr="00704B2A">
        <w:t>. 471/97</w:t>
      </w:r>
    </w:p>
    <w:p w:rsidR="00354298" w:rsidRPr="00704B2A" w:rsidRDefault="00354298" w:rsidP="00704B2A">
      <w:r w:rsidRPr="00704B2A">
        <w:t>Mancata opzione per la trasparenza fiscale Artt. 115 e 116 del TUIR</w:t>
      </w:r>
    </w:p>
    <w:p w:rsidR="00354298" w:rsidRPr="00704B2A" w:rsidRDefault="00354298" w:rsidP="00704B2A">
      <w:r w:rsidRPr="00704B2A">
        <w:t>Mancata opzione per il consolidato fiscale Artt. 117 ss. del TUIR</w:t>
      </w:r>
    </w:p>
    <w:p w:rsidR="00354298" w:rsidRPr="00704B2A" w:rsidRDefault="00354298" w:rsidP="00704B2A">
      <w:r w:rsidRPr="00704B2A">
        <w:t>Omessa presentazione del modello EAS</w:t>
      </w:r>
    </w:p>
    <w:p w:rsidR="00354298" w:rsidRPr="00704B2A" w:rsidRDefault="00354298" w:rsidP="00704B2A">
      <w:r w:rsidRPr="00704B2A">
        <w:t>Art. 30 co. 1 - 3-bis del DL</w:t>
      </w:r>
      <w:r w:rsidR="00704B2A">
        <w:t xml:space="preserve"> </w:t>
      </w:r>
      <w:r w:rsidRPr="00704B2A">
        <w:t>185/2008</w:t>
      </w:r>
    </w:p>
    <w:p w:rsidR="00354298" w:rsidRDefault="00354298" w:rsidP="00704B2A">
      <w:r w:rsidRPr="00704B2A">
        <w:t>Mancata comunicazione all’ENEA (</w:t>
      </w:r>
      <w:proofErr w:type="spellStart"/>
      <w:r w:rsidRPr="00704B2A">
        <w:t>ecobonus</w:t>
      </w:r>
      <w:proofErr w:type="spellEnd"/>
      <w:r w:rsidRPr="00704B2A">
        <w:t>)</w:t>
      </w:r>
      <w:r w:rsidR="00704B2A">
        <w:t xml:space="preserve"> </w:t>
      </w:r>
      <w:r w:rsidRPr="00704B2A">
        <w:t>Artt. 14 del DL 63/2013 e 1 co.</w:t>
      </w:r>
      <w:r w:rsidR="00704B2A">
        <w:t xml:space="preserve"> </w:t>
      </w:r>
      <w:r w:rsidRPr="00704B2A">
        <w:t>344 - 349 della L. 296/2006</w:t>
      </w:r>
    </w:p>
    <w:p w:rsidR="00704B2A" w:rsidRPr="00704B2A" w:rsidRDefault="00704B2A" w:rsidP="00704B2A"/>
    <w:p w:rsidR="00354298" w:rsidRDefault="00EB4169" w:rsidP="0035429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4"/>
          <w:szCs w:val="24"/>
        </w:rPr>
      </w:pPr>
      <w:r>
        <w:rPr>
          <w:rFonts w:ascii="Arial,Bold" w:hAnsi="Arial,Bold" w:cs="Arial,Bold"/>
          <w:b/>
          <w:bCs/>
          <w:color w:val="000000"/>
          <w:sz w:val="24"/>
          <w:szCs w:val="24"/>
        </w:rPr>
        <w:t>5</w:t>
      </w:r>
      <w:r w:rsidR="00354298">
        <w:rPr>
          <w:rFonts w:ascii="Arial,Bold" w:hAnsi="Arial,Bold" w:cs="Arial,Bold"/>
          <w:b/>
          <w:bCs/>
          <w:color w:val="000000"/>
          <w:sz w:val="24"/>
          <w:szCs w:val="24"/>
        </w:rPr>
        <w:t xml:space="preserve"> ADEMPIMENTI</w:t>
      </w:r>
    </w:p>
    <w:p w:rsidR="00EB4169" w:rsidRDefault="00EB4169" w:rsidP="00354298"/>
    <w:p w:rsidR="00354298" w:rsidRPr="00354298" w:rsidRDefault="00354298" w:rsidP="00354298">
      <w:r w:rsidRPr="00354298">
        <w:t>Ai fini della definizione, è necessario versare 200,00 euro “per ciascun periodo d’imposta cui si riferiscono</w:t>
      </w:r>
    </w:p>
    <w:p w:rsidR="00354298" w:rsidRPr="00354298" w:rsidRDefault="00354298" w:rsidP="00354298">
      <w:r w:rsidRPr="00354298">
        <w:t>le violazioni”.</w:t>
      </w:r>
    </w:p>
    <w:p w:rsidR="00354298" w:rsidRPr="00354298" w:rsidRDefault="00354298" w:rsidP="00354298">
      <w:r w:rsidRPr="00354298">
        <w:t>Pertanto, non rileva il numero di violazioni commesse ma il periodo d’imposta: se diverse violazioni</w:t>
      </w:r>
    </w:p>
    <w:p w:rsidR="00354298" w:rsidRPr="00354298" w:rsidRDefault="00354298" w:rsidP="00354298">
      <w:r w:rsidRPr="00354298">
        <w:t>sono state commesse in un unico periodo d’imposta, occorre pagare solo 200,00 euro.</w:t>
      </w:r>
    </w:p>
    <w:p w:rsidR="00354298" w:rsidRPr="00354298" w:rsidRDefault="00354298" w:rsidP="00354298">
      <w:r w:rsidRPr="00354298">
        <w:t>Mentre se solamente due violazioni sono state commesse in due periodi d’imposta diversi, occorre</w:t>
      </w:r>
    </w:p>
    <w:p w:rsidR="00354298" w:rsidRPr="00354298" w:rsidRDefault="00354298" w:rsidP="00354298">
      <w:r w:rsidRPr="00354298">
        <w:t>pagare 400,00 euro.</w:t>
      </w:r>
    </w:p>
    <w:p w:rsidR="00354298" w:rsidRPr="00354298" w:rsidRDefault="00354298" w:rsidP="00354298">
      <w:r w:rsidRPr="00354298">
        <w:t>La definizione non si perfeziona solo con il pagamento, posto che, ai sensi dell’art. 1 co. 168 della</w:t>
      </w:r>
    </w:p>
    <w:p w:rsidR="00354298" w:rsidRPr="00354298" w:rsidRDefault="00354298" w:rsidP="00354298">
      <w:r w:rsidRPr="00354298">
        <w:t>L. 197/2022 è necessaria la rimozione delle irregolarità o delle omissioni entro il 31.3.2024.</w:t>
      </w:r>
    </w:p>
    <w:p w:rsidR="00EB4169" w:rsidRDefault="00EB4169" w:rsidP="0035429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18"/>
          <w:szCs w:val="18"/>
        </w:rPr>
      </w:pPr>
    </w:p>
    <w:p w:rsidR="00354298" w:rsidRDefault="00EC38D3" w:rsidP="0035429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sz w:val="18"/>
          <w:szCs w:val="18"/>
        </w:rPr>
        <w:t>5</w:t>
      </w:r>
      <w:r w:rsidR="00354298">
        <w:rPr>
          <w:rFonts w:ascii="Arial,Bold" w:hAnsi="Arial,Bold" w:cs="Arial,Bold"/>
          <w:b/>
          <w:bCs/>
          <w:color w:val="000000"/>
          <w:sz w:val="18"/>
          <w:szCs w:val="18"/>
        </w:rPr>
        <w:t>.1 VERSAMENTI</w:t>
      </w:r>
    </w:p>
    <w:p w:rsidR="00EB4169" w:rsidRDefault="00EB4169" w:rsidP="00354298"/>
    <w:p w:rsidR="00354298" w:rsidRPr="00354298" w:rsidRDefault="00354298" w:rsidP="00354298">
      <w:r w:rsidRPr="00354298">
        <w:t>I versamenti delle somme dovute devono avvenire in due rate di pari importo, scadenti, rispettivamente,</w:t>
      </w:r>
    </w:p>
    <w:p w:rsidR="00354298" w:rsidRPr="00354298" w:rsidRDefault="00354298" w:rsidP="00354298">
      <w:r w:rsidRPr="00354298">
        <w:t>il 31.3.2023 e il 31.3.2024.</w:t>
      </w:r>
    </w:p>
    <w:p w:rsidR="00354298" w:rsidRPr="00354298" w:rsidRDefault="00354298" w:rsidP="00354298">
      <w:r w:rsidRPr="00354298">
        <w:t>Il pagamento può anche avvenire in unica soluzione entro il 31.3.2023.</w:t>
      </w:r>
    </w:p>
    <w:p w:rsidR="00354298" w:rsidRPr="00354298" w:rsidRDefault="00354298" w:rsidP="00354298">
      <w:r w:rsidRPr="00354298">
        <w:t xml:space="preserve">La </w:t>
      </w:r>
      <w:proofErr w:type="spellStart"/>
      <w:r w:rsidRPr="00354298">
        <w:t>ris</w:t>
      </w:r>
      <w:proofErr w:type="spellEnd"/>
      <w:r w:rsidRPr="00354298">
        <w:t>. Agenzia delle Entrate 14.2.2023 n. 6 ha istituito il codice tributo “TF44”, da indicare nel modello</w:t>
      </w:r>
    </w:p>
    <w:p w:rsidR="00354298" w:rsidRPr="00354298" w:rsidRDefault="00354298" w:rsidP="00354298">
      <w:r w:rsidRPr="00354298">
        <w:t>F24. Il codice tributo va esposto nella sezione “Erario” del modello F24, esclusivamente in</w:t>
      </w:r>
    </w:p>
    <w:p w:rsidR="00354298" w:rsidRPr="00354298" w:rsidRDefault="00354298" w:rsidP="00354298">
      <w:r w:rsidRPr="00354298">
        <w:t>corrispondenza delle somme indicate nella colonna “Importi a debito versati”.</w:t>
      </w:r>
    </w:p>
    <w:p w:rsidR="00EB4169" w:rsidRDefault="00EB4169" w:rsidP="0035429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19"/>
          <w:szCs w:val="19"/>
        </w:rPr>
      </w:pPr>
    </w:p>
    <w:p w:rsidR="00354298" w:rsidRDefault="00EC38D3" w:rsidP="0035429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19"/>
          <w:szCs w:val="19"/>
        </w:rPr>
      </w:pPr>
      <w:r>
        <w:rPr>
          <w:rFonts w:ascii="Arial,Bold" w:hAnsi="Arial,Bold" w:cs="Arial,Bold"/>
          <w:b/>
          <w:bCs/>
          <w:color w:val="000000"/>
          <w:sz w:val="19"/>
          <w:szCs w:val="19"/>
        </w:rPr>
        <w:t>5</w:t>
      </w:r>
      <w:r w:rsidR="00354298">
        <w:rPr>
          <w:rFonts w:ascii="Arial,Bold" w:hAnsi="Arial,Bold" w:cs="Arial,Bold"/>
          <w:b/>
          <w:bCs/>
          <w:color w:val="000000"/>
          <w:sz w:val="19"/>
          <w:szCs w:val="19"/>
        </w:rPr>
        <w:t>.1.1 Anno da indicare nel modello F24</w:t>
      </w:r>
    </w:p>
    <w:p w:rsidR="00EB4169" w:rsidRDefault="00EB4169" w:rsidP="00354298"/>
    <w:p w:rsidR="00354298" w:rsidRPr="00354298" w:rsidRDefault="00354298" w:rsidP="00354298">
      <w:r w:rsidRPr="00354298">
        <w:t>Nel campo “Anno di riferimento” va indicato l’anno solare a cui si riferiscono le violazioni oppure</w:t>
      </w:r>
    </w:p>
    <w:p w:rsidR="00354298" w:rsidRPr="00354298" w:rsidRDefault="00354298" w:rsidP="00354298">
      <w:r w:rsidRPr="00354298">
        <w:t>l’anno di commissione della violazione, e non l’anno della regolarizzazione.</w:t>
      </w:r>
    </w:p>
    <w:p w:rsidR="00354298" w:rsidRPr="00354298" w:rsidRDefault="00354298" w:rsidP="00354298">
      <w:r w:rsidRPr="00354298">
        <w:t>Dunque, per le violazioni commesse in ambito dichiarativo (tipo l’omessa indicazione dei costi</w:t>
      </w:r>
    </w:p>
    <w:p w:rsidR="00354298" w:rsidRPr="00354298" w:rsidRDefault="00354298" w:rsidP="00354298">
      <w:proofErr w:type="spellStart"/>
      <w:r w:rsidRPr="00354298">
        <w:t>black</w:t>
      </w:r>
      <w:proofErr w:type="spellEnd"/>
      <w:r w:rsidRPr="00354298">
        <w:t xml:space="preserve"> list, delle minusvalenze e così via), si indica l’anno d’imposta cui si riferisce la dichiarazione.</w:t>
      </w:r>
    </w:p>
    <w:p w:rsidR="00354298" w:rsidRPr="00354298" w:rsidRDefault="00354298" w:rsidP="00354298">
      <w:r w:rsidRPr="00354298">
        <w:t>Ad esempio, se le minusvalenze non sono state indicate nel modello REDDITI 2021, nel modello</w:t>
      </w:r>
    </w:p>
    <w:p w:rsidR="00354298" w:rsidRPr="00354298" w:rsidRDefault="00354298" w:rsidP="00354298">
      <w:r w:rsidRPr="00354298">
        <w:t>F24 è corretto indicare l’anno 2020.</w:t>
      </w:r>
    </w:p>
    <w:p w:rsidR="00354298" w:rsidRPr="00354298" w:rsidRDefault="00354298" w:rsidP="00354298">
      <w:r w:rsidRPr="00354298">
        <w:t>Per i soggetti “non solari”, si indica l’anno in cui termina il periodo d’imposta per il quale sono regolarizzate</w:t>
      </w:r>
    </w:p>
    <w:p w:rsidR="00354298" w:rsidRPr="00354298" w:rsidRDefault="00354298" w:rsidP="00354298">
      <w:r w:rsidRPr="00354298">
        <w:t>le violazioni formali.</w:t>
      </w:r>
    </w:p>
    <w:p w:rsidR="00354298" w:rsidRPr="00354298" w:rsidRDefault="00354298" w:rsidP="00354298">
      <w:r w:rsidRPr="00354298">
        <w:t>Per le altre violazioni (ad esempio quelle sui vari obblighi comunicativi, come la comunicazione</w:t>
      </w:r>
    </w:p>
    <w:p w:rsidR="00354298" w:rsidRPr="00354298" w:rsidRDefault="00354298" w:rsidP="00354298">
      <w:r w:rsidRPr="00354298">
        <w:t>delle liquidazioni IVA), si fa riferimento alla commissione della violazione stessa.</w:t>
      </w:r>
    </w:p>
    <w:p w:rsidR="00EB4169" w:rsidRDefault="00EB4169" w:rsidP="0035429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19"/>
          <w:szCs w:val="19"/>
        </w:rPr>
      </w:pPr>
    </w:p>
    <w:p w:rsidR="00354298" w:rsidRDefault="00EC38D3" w:rsidP="0035429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19"/>
          <w:szCs w:val="19"/>
        </w:rPr>
      </w:pPr>
      <w:r>
        <w:rPr>
          <w:rFonts w:ascii="Arial,Bold" w:hAnsi="Arial,Bold" w:cs="Arial,Bold"/>
          <w:b/>
          <w:bCs/>
          <w:color w:val="000000"/>
          <w:sz w:val="19"/>
          <w:szCs w:val="19"/>
        </w:rPr>
        <w:t>5</w:t>
      </w:r>
      <w:r w:rsidR="00354298">
        <w:rPr>
          <w:rFonts w:ascii="Arial,Bold" w:hAnsi="Arial,Bold" w:cs="Arial,Bold"/>
          <w:b/>
          <w:bCs/>
          <w:color w:val="000000"/>
          <w:sz w:val="19"/>
          <w:szCs w:val="19"/>
        </w:rPr>
        <w:t>.1.2 Divieto di compensazione</w:t>
      </w:r>
    </w:p>
    <w:p w:rsidR="00EB4169" w:rsidRDefault="00EB4169" w:rsidP="00354298"/>
    <w:p w:rsidR="00354298" w:rsidRPr="00354298" w:rsidRDefault="00354298" w:rsidP="00354298">
      <w:r w:rsidRPr="00354298">
        <w:t xml:space="preserve">La L. 197/2022, il </w:t>
      </w:r>
      <w:proofErr w:type="spellStart"/>
      <w:r w:rsidRPr="00354298">
        <w:t>provv</w:t>
      </w:r>
      <w:proofErr w:type="spellEnd"/>
      <w:r w:rsidRPr="00354298">
        <w:t>. Agenzia delle Entrate 30.1.2023 n. 27629, la circ. Agenzia delle Entrate</w:t>
      </w:r>
    </w:p>
    <w:p w:rsidR="00354298" w:rsidRPr="00354298" w:rsidRDefault="00354298" w:rsidP="00354298">
      <w:r w:rsidRPr="00354298">
        <w:t xml:space="preserve">27.1.2023 n. 2 e la </w:t>
      </w:r>
      <w:proofErr w:type="spellStart"/>
      <w:r w:rsidRPr="00354298">
        <w:t>ris</w:t>
      </w:r>
      <w:proofErr w:type="spellEnd"/>
      <w:r w:rsidRPr="00354298">
        <w:t>. Agenzia delle Entrate 14.2.2023 n. 6 non prevedono alcun divieto di compensazione</w:t>
      </w:r>
    </w:p>
    <w:p w:rsidR="00354298" w:rsidRPr="00354298" w:rsidRDefault="00354298" w:rsidP="00354298">
      <w:r w:rsidRPr="00354298">
        <w:t>nel modello F24 degli importi dovuti per la definizione delle violazioni formali.</w:t>
      </w:r>
    </w:p>
    <w:p w:rsidR="00EB4169" w:rsidRDefault="00EB4169" w:rsidP="0035429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18"/>
          <w:szCs w:val="18"/>
        </w:rPr>
      </w:pPr>
    </w:p>
    <w:p w:rsidR="00354298" w:rsidRDefault="00EC38D3" w:rsidP="0035429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sz w:val="18"/>
          <w:szCs w:val="18"/>
        </w:rPr>
        <w:t>5</w:t>
      </w:r>
      <w:r w:rsidR="00354298">
        <w:rPr>
          <w:rFonts w:ascii="Arial,Bold" w:hAnsi="Arial,Bold" w:cs="Arial,Bold"/>
          <w:b/>
          <w:bCs/>
          <w:color w:val="000000"/>
          <w:sz w:val="18"/>
          <w:szCs w:val="18"/>
        </w:rPr>
        <w:t>.2 RIMOZIONE DELLA VIOLAZIONE</w:t>
      </w:r>
    </w:p>
    <w:p w:rsidR="00EB4169" w:rsidRDefault="00EB4169" w:rsidP="00354298"/>
    <w:p w:rsidR="00354298" w:rsidRPr="00354298" w:rsidRDefault="00354298" w:rsidP="00354298">
      <w:r w:rsidRPr="00354298">
        <w:t>La definizione delle violazioni formali presuppone, ai fini del suo perfezionamento, la rimozione</w:t>
      </w:r>
    </w:p>
    <w:p w:rsidR="00354298" w:rsidRPr="00354298" w:rsidRDefault="00354298" w:rsidP="00354298">
      <w:r w:rsidRPr="00354298">
        <w:t>della violazione.</w:t>
      </w:r>
    </w:p>
    <w:p w:rsidR="00EB4169" w:rsidRDefault="00354298" w:rsidP="00354298">
      <w:r w:rsidRPr="00354298">
        <w:t xml:space="preserve">È dunque necessario, a seconda delle ipotesi, effettuare l’adempimento omesso o rieseguire </w:t>
      </w:r>
    </w:p>
    <w:p w:rsidR="00EB4169" w:rsidRDefault="00354298" w:rsidP="00354298">
      <w:r w:rsidRPr="00354298">
        <w:t>l’adempimento</w:t>
      </w:r>
      <w:r w:rsidR="00EB4169">
        <w:t xml:space="preserve"> </w:t>
      </w:r>
      <w:r w:rsidRPr="00354298">
        <w:t>errato, il che può consistere nell’invio o nel re-invio della comunicazione, o nella</w:t>
      </w:r>
    </w:p>
    <w:p w:rsidR="00EB4169" w:rsidRDefault="00354298" w:rsidP="00354298">
      <w:r w:rsidRPr="00354298">
        <w:t>presentazione</w:t>
      </w:r>
      <w:r w:rsidR="00EB4169">
        <w:t xml:space="preserve"> </w:t>
      </w:r>
      <w:r w:rsidRPr="00354298">
        <w:t xml:space="preserve">di una dichiarazione integrativa. Ove la violazione riguardi i registri contabili o la </w:t>
      </w:r>
    </w:p>
    <w:p w:rsidR="00EB4169" w:rsidRDefault="00354298" w:rsidP="00354298">
      <w:r w:rsidRPr="00354298">
        <w:t>fatturazione, è</w:t>
      </w:r>
      <w:r w:rsidR="00EB4169">
        <w:t xml:space="preserve"> </w:t>
      </w:r>
      <w:r w:rsidRPr="00354298">
        <w:t xml:space="preserve">necessario procedere alla correzione dei registri e/o alla </w:t>
      </w:r>
      <w:proofErr w:type="spellStart"/>
      <w:r w:rsidRPr="00354298">
        <w:t>riemissione</w:t>
      </w:r>
      <w:proofErr w:type="spellEnd"/>
      <w:r w:rsidRPr="00354298">
        <w:t xml:space="preserve"> della fattura, e, se del</w:t>
      </w:r>
    </w:p>
    <w:p w:rsidR="00EB4169" w:rsidRDefault="00354298" w:rsidP="00354298">
      <w:r w:rsidRPr="00354298">
        <w:t>caso, alla</w:t>
      </w:r>
      <w:r w:rsidR="00EB4169">
        <w:t xml:space="preserve"> </w:t>
      </w:r>
      <w:r w:rsidRPr="00354298">
        <w:t>presentazione di una dichiarazione integrativa, ove l’inesattezza sia stata recepita in</w:t>
      </w:r>
    </w:p>
    <w:p w:rsidR="00354298" w:rsidRPr="00354298" w:rsidRDefault="00354298" w:rsidP="00354298">
      <w:r w:rsidRPr="00354298">
        <w:t>dichiarazione.</w:t>
      </w:r>
    </w:p>
    <w:p w:rsidR="00354298" w:rsidRPr="00354298" w:rsidRDefault="00354298" w:rsidP="00354298">
      <w:r w:rsidRPr="00354298">
        <w:t>Le violazioni vanno rimosse entro il 31.3.2024.</w:t>
      </w:r>
    </w:p>
    <w:p w:rsidR="00354298" w:rsidRPr="00354298" w:rsidRDefault="00354298" w:rsidP="00354298">
      <w:r w:rsidRPr="00354298">
        <w:t>Ove il contribuente non rimuova tutte le violazioni, ciò non pregiudica gli effetti della regolarizzazione</w:t>
      </w:r>
    </w:p>
    <w:p w:rsidR="00354298" w:rsidRPr="00354298" w:rsidRDefault="00354298" w:rsidP="00354298">
      <w:r w:rsidRPr="00354298">
        <w:t>sulle violazioni correttamente rimosse.</w:t>
      </w:r>
    </w:p>
    <w:p w:rsidR="00354298" w:rsidRPr="00354298" w:rsidRDefault="00354298" w:rsidP="00354298">
      <w:r w:rsidRPr="00354298">
        <w:t>Il mancato perfezionamento della regolarizzazione non dà diritto alla restituzione di quanto versato.</w:t>
      </w:r>
    </w:p>
    <w:p w:rsidR="00EB4169" w:rsidRDefault="00EB4169" w:rsidP="0035429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19"/>
          <w:szCs w:val="19"/>
        </w:rPr>
      </w:pPr>
    </w:p>
    <w:p w:rsidR="00354298" w:rsidRDefault="00EC38D3" w:rsidP="0035429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19"/>
          <w:szCs w:val="19"/>
        </w:rPr>
      </w:pPr>
      <w:r>
        <w:rPr>
          <w:rFonts w:ascii="Arial,Bold" w:hAnsi="Arial,Bold" w:cs="Arial,Bold"/>
          <w:b/>
          <w:bCs/>
          <w:color w:val="000000"/>
          <w:sz w:val="19"/>
          <w:szCs w:val="19"/>
        </w:rPr>
        <w:t>5</w:t>
      </w:r>
      <w:r w:rsidR="00354298">
        <w:rPr>
          <w:rFonts w:ascii="Arial,Bold" w:hAnsi="Arial,Bold" w:cs="Arial,Bold"/>
          <w:b/>
          <w:bCs/>
          <w:color w:val="000000"/>
          <w:sz w:val="19"/>
          <w:szCs w:val="19"/>
        </w:rPr>
        <w:t>.2.1 Omessa rimozione della violazione</w:t>
      </w:r>
    </w:p>
    <w:p w:rsidR="003B6EB6" w:rsidRDefault="003B6EB6" w:rsidP="0035429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19"/>
          <w:szCs w:val="19"/>
        </w:rPr>
      </w:pPr>
      <w:bookmarkStart w:id="0" w:name="_GoBack"/>
      <w:bookmarkEnd w:id="0"/>
    </w:p>
    <w:p w:rsidR="00354298" w:rsidRPr="00354298" w:rsidRDefault="00354298" w:rsidP="00354298">
      <w:r w:rsidRPr="00354298">
        <w:t xml:space="preserve">L’Agenzia delle Entrate, nel </w:t>
      </w:r>
      <w:proofErr w:type="spellStart"/>
      <w:r w:rsidRPr="00354298">
        <w:t>provv</w:t>
      </w:r>
      <w:proofErr w:type="spellEnd"/>
      <w:r w:rsidRPr="00354298">
        <w:t>. 30.1.2023 n. 27629, al punto 2.6, specifica che se il contribuente,</w:t>
      </w:r>
    </w:p>
    <w:p w:rsidR="00354298" w:rsidRPr="00354298" w:rsidRDefault="00354298" w:rsidP="00354298">
      <w:r w:rsidRPr="00354298">
        <w:t>“per un giustificato motivo”, non rimuove tutte le violazioni formali oggetto di sanatoria, “la stessa</w:t>
      </w:r>
    </w:p>
    <w:p w:rsidR="00354298" w:rsidRPr="00354298" w:rsidRDefault="00354298" w:rsidP="00354298">
      <w:r w:rsidRPr="00354298">
        <w:t>comunque produce effetto se la rimozione avviene entro un termine fissato dall’ufficio dell’Agenzia</w:t>
      </w:r>
    </w:p>
    <w:p w:rsidR="00354298" w:rsidRPr="00354298" w:rsidRDefault="00354298" w:rsidP="00354298">
      <w:r w:rsidRPr="00354298">
        <w:t>delle entrate, che non può essere inferiore a trenta giorni; la rimozione va in ogni caso effettuata</w:t>
      </w:r>
    </w:p>
    <w:p w:rsidR="00354298" w:rsidRPr="00354298" w:rsidRDefault="00354298" w:rsidP="00354298">
      <w:r w:rsidRPr="00354298">
        <w:t>entro il predetto termine del 31 marzo 2024 in ipotesi di violazione formale constatata o</w:t>
      </w:r>
    </w:p>
    <w:p w:rsidR="00354298" w:rsidRPr="00354298" w:rsidRDefault="00354298" w:rsidP="00354298">
      <w:r w:rsidRPr="00354298">
        <w:t>per la quale sia stata irrogata la sanzione o comunque fatta presente all’interessato”.</w:t>
      </w:r>
    </w:p>
    <w:p w:rsidR="00354298" w:rsidRPr="00354298" w:rsidRDefault="00354298" w:rsidP="00354298">
      <w:r w:rsidRPr="00354298">
        <w:t>Per prudenza, è opportuno notiziare l’Agenzia delle Entrate circa la volontà di regolarizzare con</w:t>
      </w:r>
    </w:p>
    <w:p w:rsidR="00354298" w:rsidRPr="00354298" w:rsidRDefault="00354298" w:rsidP="00354298">
      <w:r w:rsidRPr="00354298">
        <w:t>istanza in carta libera inviata entro il 31.3.2024, dimostrando le ragioni per cui la regolarizzazione</w:t>
      </w:r>
    </w:p>
    <w:p w:rsidR="00354298" w:rsidRPr="00354298" w:rsidRDefault="00354298" w:rsidP="00354298">
      <w:r w:rsidRPr="00354298">
        <w:t>non può avvenire.</w:t>
      </w:r>
    </w:p>
    <w:p w:rsidR="00EB4169" w:rsidRDefault="00EB4169" w:rsidP="0035429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19"/>
          <w:szCs w:val="19"/>
        </w:rPr>
      </w:pPr>
    </w:p>
    <w:p w:rsidR="00354298" w:rsidRDefault="00EC38D3" w:rsidP="0035429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19"/>
          <w:szCs w:val="19"/>
        </w:rPr>
      </w:pPr>
      <w:r>
        <w:rPr>
          <w:rFonts w:ascii="Arial,Bold" w:hAnsi="Arial,Bold" w:cs="Arial,Bold"/>
          <w:b/>
          <w:bCs/>
          <w:color w:val="000000"/>
          <w:sz w:val="19"/>
          <w:szCs w:val="19"/>
        </w:rPr>
        <w:t>5</w:t>
      </w:r>
      <w:r w:rsidR="00354298">
        <w:rPr>
          <w:rFonts w:ascii="Arial,Bold" w:hAnsi="Arial,Bold" w:cs="Arial,Bold"/>
          <w:b/>
          <w:bCs/>
          <w:color w:val="000000"/>
          <w:sz w:val="19"/>
          <w:szCs w:val="19"/>
        </w:rPr>
        <w:t>.2.2 Rimozione “non necessaria”</w:t>
      </w:r>
    </w:p>
    <w:p w:rsidR="00EB4169" w:rsidRDefault="00EB4169" w:rsidP="00354298"/>
    <w:p w:rsidR="00354298" w:rsidRPr="00354298" w:rsidRDefault="00354298" w:rsidP="00354298">
      <w:r w:rsidRPr="00354298">
        <w:t xml:space="preserve">L’Agenzia delle Entrate, nel punto 2.7 del </w:t>
      </w:r>
      <w:proofErr w:type="spellStart"/>
      <w:r w:rsidRPr="00354298">
        <w:t>provv</w:t>
      </w:r>
      <w:proofErr w:type="spellEnd"/>
      <w:r w:rsidRPr="00354298">
        <w:t>. 30.1.2023 n. 27629, precisa: “la rimozione non va</w:t>
      </w:r>
    </w:p>
    <w:p w:rsidR="00354298" w:rsidRPr="00354298" w:rsidRDefault="00354298" w:rsidP="00354298">
      <w:r w:rsidRPr="00354298">
        <w:t>effettuata quando non sia possibile o necessaria avuto riguardo ai profili della violazione formale”.</w:t>
      </w:r>
    </w:p>
    <w:p w:rsidR="00354298" w:rsidRPr="00354298" w:rsidRDefault="00354298" w:rsidP="00354298">
      <w:r w:rsidRPr="00354298">
        <w:t>Le casistiche in cui non è necessaria la rimozione della violazione sono state indicate nella tabella</w:t>
      </w:r>
    </w:p>
    <w:p w:rsidR="00354298" w:rsidRPr="00354298" w:rsidRDefault="00354298" w:rsidP="00354298">
      <w:r w:rsidRPr="00354298">
        <w:t>contenuta nel precedente § 5.</w:t>
      </w:r>
    </w:p>
    <w:p w:rsidR="00EB4169" w:rsidRDefault="00EB4169" w:rsidP="0035429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4"/>
          <w:szCs w:val="24"/>
        </w:rPr>
      </w:pPr>
    </w:p>
    <w:p w:rsidR="00354298" w:rsidRDefault="00EC38D3" w:rsidP="0035429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4"/>
          <w:szCs w:val="24"/>
        </w:rPr>
      </w:pPr>
      <w:r>
        <w:rPr>
          <w:rFonts w:ascii="Arial,Bold" w:hAnsi="Arial,Bold" w:cs="Arial,Bold"/>
          <w:b/>
          <w:bCs/>
          <w:color w:val="000000"/>
          <w:sz w:val="24"/>
          <w:szCs w:val="24"/>
        </w:rPr>
        <w:t>6</w:t>
      </w:r>
      <w:r w:rsidR="00354298">
        <w:rPr>
          <w:rFonts w:ascii="Arial,Bold" w:hAnsi="Arial,Bold" w:cs="Arial,Bold"/>
          <w:b/>
          <w:bCs/>
          <w:color w:val="000000"/>
          <w:sz w:val="24"/>
          <w:szCs w:val="24"/>
        </w:rPr>
        <w:t xml:space="preserve"> PROROGA DEI TERMINI DI CONTESTAZIONE</w:t>
      </w:r>
    </w:p>
    <w:p w:rsidR="00EB4169" w:rsidRDefault="00EB4169" w:rsidP="00354298"/>
    <w:p w:rsidR="00354298" w:rsidRPr="00354298" w:rsidRDefault="00354298" w:rsidP="00354298">
      <w:r w:rsidRPr="00354298">
        <w:t>In merito alle violazioni commesse sino al 31.10.2022, oggetto di un processo verbale di constatazione,</w:t>
      </w:r>
    </w:p>
    <w:p w:rsidR="00354298" w:rsidRPr="00354298" w:rsidRDefault="00354298" w:rsidP="00354298">
      <w:r w:rsidRPr="00354298">
        <w:t xml:space="preserve">i termini dell’art. 20 del </w:t>
      </w:r>
      <w:proofErr w:type="spellStart"/>
      <w:r w:rsidRPr="00354298">
        <w:t>DLgs</w:t>
      </w:r>
      <w:proofErr w:type="spellEnd"/>
      <w:r w:rsidRPr="00354298">
        <w:t>. 472/97 sono prorogati di 2 anni.</w:t>
      </w:r>
    </w:p>
    <w:p w:rsidR="00EB4169" w:rsidRDefault="00354298" w:rsidP="00EB4169">
      <w:pPr>
        <w:rPr>
          <w:rFonts w:ascii="Arial" w:hAnsi="Arial" w:cs="Arial"/>
          <w:color w:val="000000"/>
          <w:sz w:val="20"/>
          <w:szCs w:val="20"/>
        </w:rPr>
      </w:pPr>
      <w:r w:rsidRPr="00354298">
        <w:t>La proroga opera anche per i verbali consegnati successivamente all’1.1.2023 (</w:t>
      </w:r>
      <w:proofErr w:type="spellStart"/>
      <w:r w:rsidRPr="00354298">
        <w:t>provv</w:t>
      </w:r>
      <w:proofErr w:type="spellEnd"/>
      <w:r w:rsidRPr="00354298">
        <w:t>. Agenzia delle</w:t>
      </w:r>
      <w:r w:rsidR="00EB4169">
        <w:t xml:space="preserve"> </w:t>
      </w:r>
      <w:r>
        <w:rPr>
          <w:rFonts w:ascii="Arial" w:hAnsi="Arial" w:cs="Arial"/>
          <w:color w:val="000000"/>
          <w:sz w:val="20"/>
          <w:szCs w:val="20"/>
        </w:rPr>
        <w:t>Entrate</w:t>
      </w:r>
    </w:p>
    <w:p w:rsidR="005719E9" w:rsidRDefault="00354298" w:rsidP="00EB4169">
      <w:r>
        <w:rPr>
          <w:rFonts w:ascii="Arial" w:hAnsi="Arial" w:cs="Arial"/>
          <w:color w:val="000000"/>
          <w:sz w:val="20"/>
          <w:szCs w:val="20"/>
        </w:rPr>
        <w:t xml:space="preserve"> 30.1.2023 n. 27629, punto 3.1).</w:t>
      </w:r>
    </w:p>
    <w:p w:rsidR="005719E9" w:rsidRDefault="005719E9" w:rsidP="005719E9"/>
    <w:sectPr w:rsidR="005719E9" w:rsidSect="00EB4169">
      <w:headerReference w:type="default" r:id="rId7"/>
      <w:pgSz w:w="11906" w:h="16838"/>
      <w:pgMar w:top="1417" w:right="1134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106" w:rsidRDefault="00FD4106" w:rsidP="00FD4106">
      <w:pPr>
        <w:spacing w:after="0" w:line="240" w:lineRule="auto"/>
      </w:pPr>
      <w:r>
        <w:separator/>
      </w:r>
    </w:p>
  </w:endnote>
  <w:endnote w:type="continuationSeparator" w:id="0">
    <w:p w:rsidR="00FD4106" w:rsidRDefault="00FD4106" w:rsidP="00FD4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 Bk">
    <w:altName w:val="Century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106" w:rsidRDefault="00FD4106" w:rsidP="00FD4106">
      <w:pPr>
        <w:spacing w:after="0" w:line="240" w:lineRule="auto"/>
      </w:pPr>
      <w:r>
        <w:separator/>
      </w:r>
    </w:p>
  </w:footnote>
  <w:footnote w:type="continuationSeparator" w:id="0">
    <w:p w:rsidR="00FD4106" w:rsidRDefault="00FD4106" w:rsidP="00FD4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106" w:rsidRDefault="00FD4106" w:rsidP="00FD4106">
    <w:pPr>
      <w:spacing w:before="100" w:beforeAutospacing="1" w:after="100" w:afterAutospacing="1" w:line="240" w:lineRule="atLeast"/>
      <w:jc w:val="center"/>
      <w:rPr>
        <w:rFonts w:ascii="Futura Bk" w:eastAsia="Calibri" w:hAnsi="Futura Bk" w:cs="Times New Roman"/>
        <w:smallCaps/>
        <w:noProof/>
        <w:color w:val="0D0D73"/>
        <w:sz w:val="32"/>
        <w:szCs w:val="32"/>
        <w:lang w:eastAsia="it-IT"/>
      </w:rPr>
    </w:pPr>
    <w:r>
      <w:rPr>
        <w:rFonts w:ascii="Calibri" w:eastAsia="Calibri" w:hAnsi="Calibri" w:cs="Calibri"/>
        <w:noProof/>
        <w:lang w:eastAsia="it-IT"/>
      </w:rPr>
      <w:drawing>
        <wp:inline distT="0" distB="0" distL="0" distR="0" wp14:anchorId="38B3BB82" wp14:editId="622D40C4">
          <wp:extent cx="1628775" cy="809625"/>
          <wp:effectExtent l="0" t="0" r="9525" b="9525"/>
          <wp:docPr id="4" name="Immagine 4" descr="RGB Logo Aletheia colori positivo-NO-payo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RGB Logo Aletheia colori positivo-NO-payof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D4106" w:rsidRDefault="00FD410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65E4C"/>
    <w:multiLevelType w:val="hybridMultilevel"/>
    <w:tmpl w:val="A20AFA36"/>
    <w:lvl w:ilvl="0" w:tplc="7A580C5C">
      <w:numFmt w:val="bullet"/>
      <w:lvlText w:val="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42DA"/>
    <w:multiLevelType w:val="hybridMultilevel"/>
    <w:tmpl w:val="C73AB1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34E7F"/>
    <w:multiLevelType w:val="hybridMultilevel"/>
    <w:tmpl w:val="376823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31297"/>
    <w:multiLevelType w:val="hybridMultilevel"/>
    <w:tmpl w:val="A63858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8110B"/>
    <w:multiLevelType w:val="hybridMultilevel"/>
    <w:tmpl w:val="15C6C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C32EB"/>
    <w:multiLevelType w:val="hybridMultilevel"/>
    <w:tmpl w:val="5B1A52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E1E4A"/>
    <w:multiLevelType w:val="hybridMultilevel"/>
    <w:tmpl w:val="518AB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85C5B"/>
    <w:multiLevelType w:val="hybridMultilevel"/>
    <w:tmpl w:val="4F74A1E6"/>
    <w:lvl w:ilvl="0" w:tplc="0410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86F34EC"/>
    <w:multiLevelType w:val="hybridMultilevel"/>
    <w:tmpl w:val="B874EB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DB201C"/>
    <w:multiLevelType w:val="hybridMultilevel"/>
    <w:tmpl w:val="058C3A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6F62FB"/>
    <w:multiLevelType w:val="hybridMultilevel"/>
    <w:tmpl w:val="19589F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A212B3"/>
    <w:multiLevelType w:val="hybridMultilevel"/>
    <w:tmpl w:val="384E54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05238"/>
    <w:multiLevelType w:val="hybridMultilevel"/>
    <w:tmpl w:val="E70C71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6E0ECE"/>
    <w:multiLevelType w:val="hybridMultilevel"/>
    <w:tmpl w:val="5BEAB0DA"/>
    <w:lvl w:ilvl="0" w:tplc="03CCE19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9"/>
  </w:num>
  <w:num w:numId="7">
    <w:abstractNumId w:val="12"/>
  </w:num>
  <w:num w:numId="8">
    <w:abstractNumId w:val="6"/>
  </w:num>
  <w:num w:numId="9">
    <w:abstractNumId w:val="2"/>
  </w:num>
  <w:num w:numId="10">
    <w:abstractNumId w:val="10"/>
  </w:num>
  <w:num w:numId="11">
    <w:abstractNumId w:val="4"/>
  </w:num>
  <w:num w:numId="12">
    <w:abstractNumId w:val="13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CA3"/>
    <w:rsid w:val="00354298"/>
    <w:rsid w:val="003B6EB6"/>
    <w:rsid w:val="005719E9"/>
    <w:rsid w:val="005E6141"/>
    <w:rsid w:val="006B3CA3"/>
    <w:rsid w:val="00704B2A"/>
    <w:rsid w:val="007A2293"/>
    <w:rsid w:val="00D0595F"/>
    <w:rsid w:val="00EB4169"/>
    <w:rsid w:val="00EC38D3"/>
    <w:rsid w:val="00EC6D0E"/>
    <w:rsid w:val="00F668D0"/>
    <w:rsid w:val="00F72E36"/>
    <w:rsid w:val="00FD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2CEE9"/>
  <w15:chartTrackingRefBased/>
  <w15:docId w15:val="{9CB236FF-0453-4643-9EA8-688E27BA8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3CA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D41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4106"/>
  </w:style>
  <w:style w:type="paragraph" w:styleId="Pidipagina">
    <w:name w:val="footer"/>
    <w:basedOn w:val="Normale"/>
    <w:link w:val="PidipaginaCarattere"/>
    <w:uiPriority w:val="99"/>
    <w:unhideWhenUsed/>
    <w:rsid w:val="00FD41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4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1938</Words>
  <Characters>11053</Characters>
  <Application>Microsoft Office Word</Application>
  <DocSecurity>0</DocSecurity>
  <Lines>92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Fabbroni</dc:creator>
  <cp:keywords/>
  <dc:description/>
  <cp:lastModifiedBy>Lorenzo Fabbroni</cp:lastModifiedBy>
  <cp:revision>5</cp:revision>
  <dcterms:created xsi:type="dcterms:W3CDTF">2023-03-01T08:45:00Z</dcterms:created>
  <dcterms:modified xsi:type="dcterms:W3CDTF">2023-03-01T08:58:00Z</dcterms:modified>
</cp:coreProperties>
</file>